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B20E1" w14:textId="77777777" w:rsidR="004E5DC8" w:rsidRPr="00FD66CA" w:rsidRDefault="004E5DC8" w:rsidP="004E5DC8">
      <w:pPr>
        <w:rPr>
          <w:rFonts w:ascii="Cambria" w:hAnsi="Cambria" w:cs="Times New Roman"/>
        </w:rPr>
      </w:pPr>
    </w:p>
    <w:p w14:paraId="6B6F53DD" w14:textId="77777777" w:rsidR="007F676D" w:rsidRDefault="007F676D" w:rsidP="004E5DC8">
      <w:pPr>
        <w:rPr>
          <w:rFonts w:ascii="Cambria" w:hAnsi="Cambria" w:cs="Times New Roman"/>
          <w:b/>
          <w:bCs/>
          <w:lang w:bidi="hr-HR"/>
        </w:rPr>
      </w:pPr>
    </w:p>
    <w:p w14:paraId="6E41060A" w14:textId="77777777" w:rsidR="007F676D" w:rsidRDefault="007F676D" w:rsidP="004E5DC8">
      <w:pPr>
        <w:rPr>
          <w:rFonts w:ascii="Cambria" w:hAnsi="Cambria" w:cs="Times New Roman"/>
          <w:b/>
          <w:bCs/>
          <w:lang w:bidi="hr-HR"/>
        </w:rPr>
      </w:pPr>
    </w:p>
    <w:p w14:paraId="21D92F1B" w14:textId="643D116A" w:rsidR="004E5DC8" w:rsidRPr="007F676D" w:rsidRDefault="004E5DC8" w:rsidP="007F676D">
      <w:pPr>
        <w:jc w:val="center"/>
        <w:rPr>
          <w:rFonts w:ascii="Cambria" w:hAnsi="Cambria" w:cs="Times New Roman"/>
          <w:b/>
          <w:bCs/>
          <w:u w:val="single"/>
          <w:lang w:bidi="hr-HR"/>
        </w:rPr>
      </w:pPr>
      <w:r w:rsidRPr="007F676D">
        <w:rPr>
          <w:rFonts w:ascii="Cambria" w:hAnsi="Cambria" w:cs="Times New Roman"/>
          <w:b/>
          <w:bCs/>
          <w:u w:val="single"/>
          <w:lang w:bidi="hr-HR"/>
        </w:rPr>
        <w:t xml:space="preserve">Nabava opreme za unapređenje IKT infrastrukture /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Procurement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equipment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for the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improvement</w:t>
      </w:r>
      <w:proofErr w:type="spellEnd"/>
      <w:r w:rsidRPr="007F676D">
        <w:rPr>
          <w:rFonts w:ascii="Cambria" w:eastAsia="Calibri" w:hAnsi="Cambria" w:cs="Cambria"/>
          <w:b/>
          <w:color w:val="5B9BD5"/>
          <w:u w:val="single"/>
        </w:rPr>
        <w:t xml:space="preserve"> of ICT </w:t>
      </w:r>
      <w:proofErr w:type="spellStart"/>
      <w:r w:rsidRPr="007F676D">
        <w:rPr>
          <w:rFonts w:ascii="Cambria" w:eastAsia="Calibri" w:hAnsi="Cambria" w:cs="Cambria"/>
          <w:b/>
          <w:color w:val="5B9BD5"/>
          <w:u w:val="single"/>
        </w:rPr>
        <w:t>infrastructure</w:t>
      </w:r>
      <w:proofErr w:type="spellEnd"/>
    </w:p>
    <w:p w14:paraId="11A886D0" w14:textId="29AD6E06" w:rsidR="007F676D" w:rsidRDefault="007F676D" w:rsidP="007F676D">
      <w:pPr>
        <w:tabs>
          <w:tab w:val="left" w:pos="2295"/>
          <w:tab w:val="center" w:pos="6736"/>
        </w:tabs>
        <w:ind w:right="531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 xml:space="preserve">GRUPA </w:t>
      </w:r>
      <w:r w:rsidR="00887A30">
        <w:rPr>
          <w:rFonts w:ascii="Cambria" w:eastAsia="Calibri" w:hAnsi="Cambria" w:cs="Cambria"/>
          <w:color w:val="000000"/>
        </w:rPr>
        <w:t>1</w:t>
      </w:r>
      <w:r>
        <w:rPr>
          <w:rFonts w:ascii="Cambria" w:eastAsia="Calibri" w:hAnsi="Cambria" w:cs="Cambria"/>
          <w:color w:val="000000"/>
        </w:rPr>
        <w:t xml:space="preserve">: SOFTWARE / </w:t>
      </w:r>
      <w:r w:rsidRPr="007F676D">
        <w:rPr>
          <w:rFonts w:ascii="Cambria" w:eastAsia="Calibri" w:hAnsi="Cambria" w:cs="Cambria"/>
          <w:color w:val="5B9BD5"/>
        </w:rPr>
        <w:t xml:space="preserve">LOT </w:t>
      </w:r>
      <w:r w:rsidR="00887A30">
        <w:rPr>
          <w:rFonts w:ascii="Cambria" w:eastAsia="Calibri" w:hAnsi="Cambria" w:cs="Cambria"/>
          <w:color w:val="5B9BD5"/>
        </w:rPr>
        <w:t>1</w:t>
      </w:r>
      <w:r w:rsidRPr="007F676D">
        <w:rPr>
          <w:rFonts w:ascii="Cambria" w:eastAsia="Calibri" w:hAnsi="Cambria" w:cs="Cambria"/>
          <w:color w:val="5B9BD5"/>
        </w:rPr>
        <w:t>: SOFTWARE</w:t>
      </w:r>
    </w:p>
    <w:p w14:paraId="7B982D5D" w14:textId="77777777" w:rsidR="007F676D" w:rsidRDefault="007F676D" w:rsidP="007F676D">
      <w:pPr>
        <w:tabs>
          <w:tab w:val="left" w:pos="2295"/>
          <w:tab w:val="center" w:pos="6736"/>
        </w:tabs>
        <w:ind w:right="531"/>
        <w:jc w:val="center"/>
        <w:rPr>
          <w:rFonts w:ascii="Cambria" w:eastAsia="Calibri" w:hAnsi="Cambria" w:cs="Cambria"/>
          <w:color w:val="000000"/>
        </w:rPr>
      </w:pPr>
    </w:p>
    <w:p w14:paraId="60D1C0AB" w14:textId="601E9E37" w:rsidR="00231CF8" w:rsidRDefault="007F676D" w:rsidP="007F676D">
      <w:pPr>
        <w:tabs>
          <w:tab w:val="left" w:pos="2295"/>
          <w:tab w:val="center" w:pos="6736"/>
        </w:tabs>
        <w:ind w:right="531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ab/>
      </w:r>
      <w:r w:rsidR="00231CF8">
        <w:rPr>
          <w:rFonts w:ascii="Cambria" w:eastAsia="Calibri" w:hAnsi="Cambria" w:cs="Cambria"/>
          <w:color w:val="000000"/>
        </w:rPr>
        <w:t xml:space="preserve">PRILOG III DOKUMENTACIJE ZA NADMETANJE </w:t>
      </w:r>
      <w:r w:rsidR="00231CF8">
        <w:rPr>
          <w:rFonts w:ascii="Cambria" w:eastAsia="Calibri" w:hAnsi="Cambria" w:cs="Cambria"/>
          <w:color w:val="5B9BD5"/>
        </w:rPr>
        <w:t>/ ANNEX III OF TENDER DOCUMENTATION</w:t>
      </w:r>
    </w:p>
    <w:p w14:paraId="69D93FE1" w14:textId="77777777" w:rsidR="00231CF8" w:rsidRDefault="00231CF8" w:rsidP="00231CF8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  <w:r>
        <w:rPr>
          <w:rFonts w:ascii="Cambria" w:eastAsia="Calibri" w:hAnsi="Cambria" w:cs="Cambria"/>
          <w:color w:val="000000"/>
        </w:rPr>
        <w:t>TEHNIČKE SPECIFIKACIJE /</w:t>
      </w:r>
      <w:r>
        <w:rPr>
          <w:rFonts w:ascii="Cambria" w:eastAsia="Calibri" w:hAnsi="Cambria" w:cs="Cambria"/>
          <w:color w:val="5B9BD5"/>
        </w:rPr>
        <w:t xml:space="preserve"> TECHNICAL SPECIFICATIONS</w:t>
      </w:r>
    </w:p>
    <w:p w14:paraId="4E7479D2" w14:textId="77777777" w:rsidR="00231CF8" w:rsidRDefault="00231CF8" w:rsidP="00231CF8">
      <w:pPr>
        <w:spacing w:after="0" w:line="100" w:lineRule="atLeast"/>
        <w:ind w:left="10" w:hanging="10"/>
        <w:jc w:val="center"/>
        <w:rPr>
          <w:rFonts w:ascii="Cambria" w:eastAsia="Calibri" w:hAnsi="Cambria" w:cs="Cambria"/>
          <w:color w:val="5B9BD5"/>
        </w:rPr>
      </w:pPr>
    </w:p>
    <w:p w14:paraId="65725A62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Zahtjevi definirani Tehničkim specifikacijama predstavljaju minimalne tehničke karakteristike koje ponuđena roba mora zadovoljavati te se iste ne smiju mijenjati od strane ponuditelja./ </w:t>
      </w:r>
      <w:proofErr w:type="spellStart"/>
      <w:r>
        <w:rPr>
          <w:rFonts w:ascii="Cambria" w:eastAsia="Calibri" w:hAnsi="Cambria" w:cs="Cambria"/>
          <w:color w:val="5B9BD5"/>
        </w:rPr>
        <w:t>Requirements</w:t>
      </w:r>
      <w:proofErr w:type="spellEnd"/>
      <w:r>
        <w:rPr>
          <w:rFonts w:ascii="Cambria" w:eastAsia="Calibri" w:hAnsi="Cambria" w:cs="Cambria"/>
          <w:color w:val="5B9BD5"/>
        </w:rPr>
        <w:t xml:space="preserve"> of </w:t>
      </w:r>
      <w:proofErr w:type="spellStart"/>
      <w:r>
        <w:rPr>
          <w:rFonts w:ascii="Cambria" w:eastAsia="Calibri" w:hAnsi="Cambria" w:cs="Cambria"/>
          <w:color w:val="5B9BD5"/>
        </w:rPr>
        <w:t>Technical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Specifications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represent</w:t>
      </w:r>
      <w:proofErr w:type="spellEnd"/>
      <w:r>
        <w:rPr>
          <w:rFonts w:ascii="Cambria" w:eastAsia="Calibri" w:hAnsi="Cambria" w:cs="Cambria"/>
          <w:color w:val="5B9BD5"/>
        </w:rPr>
        <w:t xml:space="preserve"> minimum </w:t>
      </w:r>
      <w:proofErr w:type="spellStart"/>
      <w:r>
        <w:rPr>
          <w:rFonts w:ascii="Cambria" w:eastAsia="Calibri" w:hAnsi="Cambria" w:cs="Cambria"/>
          <w:color w:val="5B9BD5"/>
        </w:rPr>
        <w:t>technical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requirements</w:t>
      </w:r>
      <w:proofErr w:type="spellEnd"/>
      <w:r>
        <w:rPr>
          <w:rFonts w:ascii="Cambria" w:eastAsia="Calibri" w:hAnsi="Cambria" w:cs="Cambria"/>
          <w:color w:val="5B9BD5"/>
        </w:rPr>
        <w:t xml:space="preserve"> for the </w:t>
      </w:r>
      <w:proofErr w:type="spellStart"/>
      <w:r>
        <w:rPr>
          <w:rFonts w:ascii="Cambria" w:eastAsia="Calibri" w:hAnsi="Cambria" w:cs="Cambria"/>
          <w:color w:val="5B9BD5"/>
        </w:rPr>
        <w:t>offered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supplies</w:t>
      </w:r>
      <w:proofErr w:type="spellEnd"/>
      <w:r>
        <w:rPr>
          <w:rFonts w:ascii="Cambria" w:eastAsia="Calibri" w:hAnsi="Cambria" w:cs="Cambria"/>
          <w:color w:val="5B9BD5"/>
        </w:rPr>
        <w:t xml:space="preserve">, </w:t>
      </w:r>
      <w:proofErr w:type="spellStart"/>
      <w:r>
        <w:rPr>
          <w:rFonts w:ascii="Cambria" w:eastAsia="Calibri" w:hAnsi="Cambria" w:cs="Cambria"/>
          <w:color w:val="5B9BD5"/>
        </w:rPr>
        <w:t>and</w:t>
      </w:r>
      <w:proofErr w:type="spellEnd"/>
      <w:r>
        <w:rPr>
          <w:rFonts w:ascii="Cambria" w:eastAsia="Calibri" w:hAnsi="Cambria" w:cs="Cambria"/>
          <w:color w:val="5B9BD5"/>
        </w:rPr>
        <w:t xml:space="preserve"> are </w:t>
      </w:r>
      <w:proofErr w:type="spellStart"/>
      <w:r>
        <w:rPr>
          <w:rFonts w:ascii="Cambria" w:eastAsia="Calibri" w:hAnsi="Cambria" w:cs="Cambria"/>
          <w:color w:val="5B9BD5"/>
        </w:rPr>
        <w:t>not</w:t>
      </w:r>
      <w:proofErr w:type="spellEnd"/>
      <w:r>
        <w:rPr>
          <w:rFonts w:ascii="Cambria" w:eastAsia="Calibri" w:hAnsi="Cambria" w:cs="Cambria"/>
          <w:color w:val="5B9BD5"/>
        </w:rPr>
        <w:t xml:space="preserve"> to </w:t>
      </w:r>
      <w:proofErr w:type="spellStart"/>
      <w:r>
        <w:rPr>
          <w:rFonts w:ascii="Cambria" w:eastAsia="Calibri" w:hAnsi="Cambria" w:cs="Cambria"/>
          <w:color w:val="5B9BD5"/>
        </w:rPr>
        <w:t>be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changed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by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tenderer</w:t>
      </w:r>
      <w:proofErr w:type="spellEnd"/>
      <w:r>
        <w:rPr>
          <w:rFonts w:ascii="Cambria" w:eastAsia="Calibri" w:hAnsi="Cambria" w:cs="Cambria"/>
          <w:color w:val="5B9BD5"/>
        </w:rPr>
        <w:t xml:space="preserve">. </w:t>
      </w:r>
    </w:p>
    <w:p w14:paraId="6F024D6C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466110AF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>Ponuditelj obavezno popunjava stupac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„zadovoljava“, „DA“, „jednakovrijedno traženom“ ili „odgovara traženom“)./</w:t>
      </w:r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Tenderer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shall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complete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column</w:t>
      </w:r>
      <w:proofErr w:type="spellEnd"/>
      <w:r>
        <w:rPr>
          <w:rFonts w:ascii="Cambria" w:eastAsia="Calibri" w:hAnsi="Cambria" w:cs="Cambria"/>
          <w:color w:val="5B9BD5"/>
        </w:rPr>
        <w:t xml:space="preserve"> „</w:t>
      </w:r>
      <w:proofErr w:type="spellStart"/>
      <w:r>
        <w:rPr>
          <w:rFonts w:ascii="Cambria" w:eastAsia="Calibri" w:hAnsi="Cambria" w:cs="Cambria"/>
          <w:color w:val="5B9BD5"/>
        </w:rPr>
        <w:t>Specifications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offered</w:t>
      </w:r>
      <w:proofErr w:type="spellEnd"/>
      <w:r>
        <w:rPr>
          <w:rFonts w:ascii="Cambria" w:eastAsia="Calibri" w:hAnsi="Cambria" w:cs="Cambria"/>
          <w:color w:val="5B9BD5"/>
        </w:rPr>
        <w:t xml:space="preserve"> “, </w:t>
      </w:r>
      <w:proofErr w:type="spellStart"/>
      <w:r>
        <w:rPr>
          <w:rFonts w:ascii="Cambria" w:eastAsia="Calibri" w:hAnsi="Cambria" w:cs="Cambria"/>
          <w:color w:val="5B9BD5"/>
        </w:rPr>
        <w:t>defining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in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detail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technical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specifications</w:t>
      </w:r>
      <w:proofErr w:type="spellEnd"/>
      <w:r>
        <w:rPr>
          <w:rFonts w:ascii="Cambria" w:eastAsia="Calibri" w:hAnsi="Cambria" w:cs="Cambria"/>
          <w:color w:val="5B9BD5"/>
        </w:rPr>
        <w:t xml:space="preserve"> of </w:t>
      </w:r>
      <w:proofErr w:type="spellStart"/>
      <w:r>
        <w:rPr>
          <w:rFonts w:ascii="Cambria" w:eastAsia="Calibri" w:hAnsi="Cambria" w:cs="Cambria"/>
          <w:color w:val="5B9BD5"/>
        </w:rPr>
        <w:t>offered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supplies</w:t>
      </w:r>
      <w:proofErr w:type="spellEnd"/>
      <w:r>
        <w:rPr>
          <w:rFonts w:ascii="Cambria" w:eastAsia="Calibri" w:hAnsi="Cambria" w:cs="Cambria"/>
          <w:color w:val="5B9BD5"/>
        </w:rPr>
        <w:t xml:space="preserve"> (note: </w:t>
      </w:r>
      <w:proofErr w:type="spellStart"/>
      <w:r>
        <w:rPr>
          <w:rFonts w:ascii="Cambria" w:eastAsia="Calibri" w:hAnsi="Cambria" w:cs="Cambria"/>
          <w:color w:val="5B9BD5"/>
        </w:rPr>
        <w:t>tenderer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fills</w:t>
      </w:r>
      <w:proofErr w:type="spellEnd"/>
      <w:r>
        <w:rPr>
          <w:rFonts w:ascii="Cambria" w:eastAsia="Calibri" w:hAnsi="Cambria" w:cs="Cambria"/>
          <w:color w:val="5B9BD5"/>
        </w:rPr>
        <w:t xml:space="preserve"> the </w:t>
      </w:r>
      <w:proofErr w:type="spellStart"/>
      <w:r>
        <w:rPr>
          <w:rFonts w:ascii="Cambria" w:eastAsia="Calibri" w:hAnsi="Cambria" w:cs="Cambria"/>
          <w:color w:val="5B9BD5"/>
        </w:rPr>
        <w:t>exact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specifications</w:t>
      </w:r>
      <w:proofErr w:type="spellEnd"/>
      <w:r>
        <w:rPr>
          <w:rFonts w:ascii="Cambria" w:eastAsia="Calibri" w:hAnsi="Cambria" w:cs="Cambria"/>
          <w:color w:val="5B9BD5"/>
        </w:rPr>
        <w:t xml:space="preserve"> of </w:t>
      </w:r>
      <w:proofErr w:type="spellStart"/>
      <w:r>
        <w:rPr>
          <w:rFonts w:ascii="Cambria" w:eastAsia="Calibri" w:hAnsi="Cambria" w:cs="Cambria"/>
          <w:color w:val="5B9BD5"/>
        </w:rPr>
        <w:t>offered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supplies</w:t>
      </w:r>
      <w:proofErr w:type="spellEnd"/>
      <w:r>
        <w:rPr>
          <w:rFonts w:ascii="Cambria" w:eastAsia="Calibri" w:hAnsi="Cambria" w:cs="Cambria"/>
          <w:color w:val="5B9BD5"/>
        </w:rPr>
        <w:t xml:space="preserve">, </w:t>
      </w:r>
      <w:proofErr w:type="spellStart"/>
      <w:r>
        <w:rPr>
          <w:rFonts w:ascii="Cambria" w:eastAsia="Calibri" w:hAnsi="Cambria" w:cs="Cambria"/>
          <w:color w:val="5B9BD5"/>
        </w:rPr>
        <w:t>while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avoiding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filling</w:t>
      </w:r>
      <w:proofErr w:type="spellEnd"/>
      <w:r>
        <w:rPr>
          <w:rFonts w:ascii="Cambria" w:eastAsia="Calibri" w:hAnsi="Cambria" w:cs="Cambria"/>
          <w:color w:val="5B9BD5"/>
        </w:rPr>
        <w:t xml:space="preserve"> the </w:t>
      </w:r>
      <w:proofErr w:type="spellStart"/>
      <w:r>
        <w:rPr>
          <w:rFonts w:ascii="Cambria" w:eastAsia="Calibri" w:hAnsi="Cambria" w:cs="Cambria"/>
          <w:color w:val="5B9BD5"/>
        </w:rPr>
        <w:t>columns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only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with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words</w:t>
      </w:r>
      <w:proofErr w:type="spellEnd"/>
      <w:r>
        <w:rPr>
          <w:rFonts w:ascii="Cambria" w:eastAsia="Calibri" w:hAnsi="Cambria" w:cs="Cambria"/>
          <w:color w:val="5B9BD5"/>
        </w:rPr>
        <w:t xml:space="preserve"> “</w:t>
      </w:r>
      <w:proofErr w:type="spellStart"/>
      <w:r>
        <w:rPr>
          <w:rFonts w:ascii="Cambria" w:eastAsia="Calibri" w:hAnsi="Cambria" w:cs="Cambria"/>
          <w:color w:val="5B9BD5"/>
        </w:rPr>
        <w:t>compliant</w:t>
      </w:r>
      <w:proofErr w:type="spellEnd"/>
      <w:r>
        <w:rPr>
          <w:rFonts w:ascii="Cambria" w:eastAsia="Calibri" w:hAnsi="Cambria" w:cs="Cambria"/>
          <w:color w:val="5B9BD5"/>
        </w:rPr>
        <w:t xml:space="preserve">” </w:t>
      </w:r>
      <w:proofErr w:type="spellStart"/>
      <w:r>
        <w:rPr>
          <w:rFonts w:ascii="Cambria" w:eastAsia="Calibri" w:hAnsi="Cambria" w:cs="Cambria"/>
          <w:color w:val="5B9BD5"/>
        </w:rPr>
        <w:t>and</w:t>
      </w:r>
      <w:proofErr w:type="spellEnd"/>
      <w:r>
        <w:rPr>
          <w:rFonts w:ascii="Cambria" w:eastAsia="Calibri" w:hAnsi="Cambria" w:cs="Cambria"/>
          <w:color w:val="5B9BD5"/>
        </w:rPr>
        <w:t>, “</w:t>
      </w:r>
      <w:proofErr w:type="spellStart"/>
      <w:r>
        <w:rPr>
          <w:rFonts w:ascii="Cambria" w:eastAsia="Calibri" w:hAnsi="Cambria" w:cs="Cambria"/>
          <w:color w:val="5B9BD5"/>
        </w:rPr>
        <w:t>equivalent</w:t>
      </w:r>
      <w:proofErr w:type="spellEnd"/>
      <w:r>
        <w:rPr>
          <w:rFonts w:ascii="Cambria" w:eastAsia="Calibri" w:hAnsi="Cambria" w:cs="Cambria"/>
          <w:color w:val="5B9BD5"/>
        </w:rPr>
        <w:t>„ or “</w:t>
      </w:r>
      <w:proofErr w:type="spellStart"/>
      <w:r>
        <w:rPr>
          <w:rFonts w:ascii="Cambria" w:eastAsia="Calibri" w:hAnsi="Cambria" w:cs="Cambria"/>
          <w:color w:val="5B9BD5"/>
        </w:rPr>
        <w:t>yes</w:t>
      </w:r>
      <w:proofErr w:type="spellEnd"/>
      <w:r>
        <w:rPr>
          <w:rFonts w:ascii="Cambria" w:eastAsia="Calibri" w:hAnsi="Cambria" w:cs="Cambria"/>
          <w:color w:val="5B9BD5"/>
        </w:rPr>
        <w:t xml:space="preserve">”).   </w:t>
      </w:r>
    </w:p>
    <w:p w14:paraId="14C9EB82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215C9D37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Stupac «Bilješke, napomene, reference na dokumentaciju» ponuditelj može popuniti ukoliko smatra potrebnim./ </w:t>
      </w:r>
      <w:proofErr w:type="spellStart"/>
      <w:r>
        <w:rPr>
          <w:rFonts w:ascii="Cambria" w:eastAsia="Calibri" w:hAnsi="Cambria" w:cs="Cambria"/>
          <w:color w:val="5B9BD5"/>
        </w:rPr>
        <w:t>Column</w:t>
      </w:r>
      <w:proofErr w:type="spellEnd"/>
      <w:r>
        <w:rPr>
          <w:rFonts w:ascii="Cambria" w:eastAsia="Calibri" w:hAnsi="Cambria" w:cs="Cambria"/>
          <w:color w:val="5B9BD5"/>
        </w:rPr>
        <w:t xml:space="preserve"> „Notes, </w:t>
      </w:r>
      <w:proofErr w:type="spellStart"/>
      <w:r>
        <w:rPr>
          <w:rFonts w:ascii="Cambria" w:eastAsia="Calibri" w:hAnsi="Cambria" w:cs="Cambria"/>
          <w:color w:val="5B9BD5"/>
        </w:rPr>
        <w:t>remarks</w:t>
      </w:r>
      <w:proofErr w:type="spellEnd"/>
      <w:r>
        <w:rPr>
          <w:rFonts w:ascii="Cambria" w:eastAsia="Calibri" w:hAnsi="Cambria" w:cs="Cambria"/>
          <w:color w:val="5B9BD5"/>
        </w:rPr>
        <w:t xml:space="preserve">, </w:t>
      </w:r>
      <w:proofErr w:type="spellStart"/>
      <w:r>
        <w:rPr>
          <w:rFonts w:ascii="Cambria" w:eastAsia="Calibri" w:hAnsi="Cambria" w:cs="Cambria"/>
          <w:color w:val="5B9BD5"/>
        </w:rPr>
        <w:t>references</w:t>
      </w:r>
      <w:proofErr w:type="spellEnd"/>
      <w:r>
        <w:rPr>
          <w:rFonts w:ascii="Cambria" w:eastAsia="Calibri" w:hAnsi="Cambria" w:cs="Cambria"/>
          <w:color w:val="5B9BD5"/>
        </w:rPr>
        <w:t xml:space="preserve"> to </w:t>
      </w:r>
      <w:proofErr w:type="spellStart"/>
      <w:r>
        <w:rPr>
          <w:rFonts w:ascii="Cambria" w:eastAsia="Calibri" w:hAnsi="Cambria" w:cs="Cambria"/>
          <w:color w:val="5B9BD5"/>
        </w:rPr>
        <w:t>documentation</w:t>
      </w:r>
      <w:proofErr w:type="spellEnd"/>
      <w:r>
        <w:rPr>
          <w:rFonts w:ascii="Cambria" w:eastAsia="Calibri" w:hAnsi="Cambria" w:cs="Cambria"/>
          <w:color w:val="5B9BD5"/>
        </w:rPr>
        <w:t xml:space="preserve">„ </w:t>
      </w:r>
      <w:proofErr w:type="spellStart"/>
      <w:r>
        <w:rPr>
          <w:rFonts w:ascii="Cambria" w:eastAsia="Calibri" w:hAnsi="Cambria" w:cs="Cambria"/>
          <w:color w:val="5B9BD5"/>
        </w:rPr>
        <w:t>may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be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filled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by</w:t>
      </w:r>
      <w:proofErr w:type="spellEnd"/>
      <w:r>
        <w:rPr>
          <w:rFonts w:ascii="Cambria" w:eastAsia="Calibri" w:hAnsi="Cambria" w:cs="Cambria"/>
          <w:color w:val="5B9BD5"/>
        </w:rPr>
        <w:t xml:space="preserve"> the </w:t>
      </w:r>
      <w:proofErr w:type="spellStart"/>
      <w:r>
        <w:rPr>
          <w:rFonts w:ascii="Cambria" w:eastAsia="Calibri" w:hAnsi="Cambria" w:cs="Cambria"/>
          <w:color w:val="5B9BD5"/>
        </w:rPr>
        <w:t>tenderer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if</w:t>
      </w:r>
      <w:proofErr w:type="spellEnd"/>
      <w:r>
        <w:rPr>
          <w:rFonts w:ascii="Cambria" w:eastAsia="Calibri" w:hAnsi="Cambria" w:cs="Cambria"/>
          <w:color w:val="5B9BD5"/>
        </w:rPr>
        <w:t xml:space="preserve"> the </w:t>
      </w:r>
      <w:proofErr w:type="spellStart"/>
      <w:r>
        <w:rPr>
          <w:rFonts w:ascii="Cambria" w:eastAsia="Calibri" w:hAnsi="Cambria" w:cs="Cambria"/>
          <w:color w:val="5B9BD5"/>
        </w:rPr>
        <w:t>tenderer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considers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it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necessary</w:t>
      </w:r>
      <w:proofErr w:type="spellEnd"/>
      <w:r>
        <w:rPr>
          <w:rFonts w:ascii="Cambria" w:eastAsia="Calibri" w:hAnsi="Cambria" w:cs="Cambria"/>
          <w:color w:val="5B9BD5"/>
        </w:rPr>
        <w:t>.</w:t>
      </w:r>
      <w:r>
        <w:rPr>
          <w:rFonts w:ascii="Cambria" w:eastAsia="Calibri" w:hAnsi="Cambria" w:cs="Cambria"/>
          <w:color w:val="000000"/>
        </w:rPr>
        <w:t xml:space="preserve"> </w:t>
      </w:r>
    </w:p>
    <w:p w14:paraId="7908094A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44595292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Stupac «Ocjena DA/NE» ponuditelj ne popunjava s obzirom na to da je stupac predviđen za ocjene Naručitelja./ </w:t>
      </w:r>
      <w:proofErr w:type="spellStart"/>
      <w:r>
        <w:rPr>
          <w:rFonts w:ascii="Cambria" w:eastAsia="Calibri" w:hAnsi="Cambria" w:cs="Cambria"/>
          <w:color w:val="5B9BD5"/>
        </w:rPr>
        <w:t>Column</w:t>
      </w:r>
      <w:proofErr w:type="spellEnd"/>
      <w:r>
        <w:rPr>
          <w:rFonts w:ascii="Cambria" w:eastAsia="Calibri" w:hAnsi="Cambria" w:cs="Cambria"/>
          <w:color w:val="5B9BD5"/>
        </w:rPr>
        <w:t xml:space="preserve"> „Notes YES/NO„ is </w:t>
      </w:r>
      <w:proofErr w:type="spellStart"/>
      <w:r>
        <w:rPr>
          <w:rFonts w:ascii="Cambria" w:eastAsia="Calibri" w:hAnsi="Cambria" w:cs="Cambria"/>
          <w:color w:val="5B9BD5"/>
        </w:rPr>
        <w:t>not</w:t>
      </w:r>
      <w:proofErr w:type="spellEnd"/>
      <w:r>
        <w:rPr>
          <w:rFonts w:ascii="Cambria" w:eastAsia="Calibri" w:hAnsi="Cambria" w:cs="Cambria"/>
          <w:color w:val="5B9BD5"/>
        </w:rPr>
        <w:t xml:space="preserve"> to </w:t>
      </w:r>
      <w:proofErr w:type="spellStart"/>
      <w:r>
        <w:rPr>
          <w:rFonts w:ascii="Cambria" w:eastAsia="Calibri" w:hAnsi="Cambria" w:cs="Cambria"/>
          <w:color w:val="5B9BD5"/>
        </w:rPr>
        <w:t>be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filled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by</w:t>
      </w:r>
      <w:proofErr w:type="spellEnd"/>
      <w:r>
        <w:rPr>
          <w:rFonts w:ascii="Cambria" w:eastAsia="Calibri" w:hAnsi="Cambria" w:cs="Cambria"/>
          <w:color w:val="5B9BD5"/>
        </w:rPr>
        <w:t xml:space="preserve"> the </w:t>
      </w:r>
      <w:proofErr w:type="spellStart"/>
      <w:r>
        <w:rPr>
          <w:rFonts w:ascii="Cambria" w:eastAsia="Calibri" w:hAnsi="Cambria" w:cs="Cambria"/>
          <w:color w:val="5B9BD5"/>
        </w:rPr>
        <w:t>tenderer</w:t>
      </w:r>
      <w:proofErr w:type="spellEnd"/>
      <w:r>
        <w:rPr>
          <w:rFonts w:ascii="Cambria" w:eastAsia="Calibri" w:hAnsi="Cambria" w:cs="Cambria"/>
          <w:color w:val="5B9BD5"/>
        </w:rPr>
        <w:t xml:space="preserve">, </w:t>
      </w:r>
      <w:proofErr w:type="spellStart"/>
      <w:r>
        <w:rPr>
          <w:rFonts w:ascii="Cambria" w:eastAsia="Calibri" w:hAnsi="Cambria" w:cs="Cambria"/>
          <w:color w:val="5B9BD5"/>
        </w:rPr>
        <w:t>since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that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column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should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be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completed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by</w:t>
      </w:r>
      <w:proofErr w:type="spellEnd"/>
      <w:r>
        <w:rPr>
          <w:rFonts w:ascii="Cambria" w:eastAsia="Calibri" w:hAnsi="Cambria" w:cs="Cambria"/>
          <w:color w:val="5B9BD5"/>
        </w:rPr>
        <w:t xml:space="preserve"> the </w:t>
      </w:r>
      <w:proofErr w:type="spellStart"/>
      <w:r>
        <w:rPr>
          <w:rFonts w:ascii="Cambria" w:eastAsia="Calibri" w:hAnsi="Cambria" w:cs="Cambria"/>
          <w:color w:val="5B9BD5"/>
        </w:rPr>
        <w:t>Contracting</w:t>
      </w:r>
      <w:proofErr w:type="spellEnd"/>
      <w:r>
        <w:rPr>
          <w:rFonts w:ascii="Cambria" w:eastAsia="Calibri" w:hAnsi="Cambria" w:cs="Cambria"/>
          <w:color w:val="5B9BD5"/>
        </w:rPr>
        <w:t xml:space="preserve"> </w:t>
      </w:r>
      <w:proofErr w:type="spellStart"/>
      <w:r>
        <w:rPr>
          <w:rFonts w:ascii="Cambria" w:eastAsia="Calibri" w:hAnsi="Cambria" w:cs="Cambria"/>
          <w:color w:val="5B9BD5"/>
        </w:rPr>
        <w:t>Authority</w:t>
      </w:r>
      <w:proofErr w:type="spellEnd"/>
      <w:r>
        <w:rPr>
          <w:rFonts w:ascii="Cambria" w:eastAsia="Calibri" w:hAnsi="Cambria" w:cs="Cambria"/>
          <w:color w:val="5B9BD5"/>
        </w:rPr>
        <w:t>.</w:t>
      </w:r>
      <w:r>
        <w:rPr>
          <w:rFonts w:ascii="Cambria" w:eastAsia="Calibri" w:hAnsi="Cambria" w:cs="Cambria"/>
          <w:color w:val="000000"/>
        </w:rPr>
        <w:t xml:space="preserve"> </w:t>
      </w:r>
    </w:p>
    <w:p w14:paraId="31C17A17" w14:textId="77777777" w:rsidR="00231CF8" w:rsidRDefault="00231CF8" w:rsidP="00231CF8">
      <w:pPr>
        <w:spacing w:after="5" w:line="242" w:lineRule="auto"/>
        <w:ind w:left="10" w:hanging="10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 xml:space="preserve"> </w:t>
      </w:r>
    </w:p>
    <w:p w14:paraId="66759008" w14:textId="77777777" w:rsidR="00231CF8" w:rsidRPr="00467EE3" w:rsidRDefault="00231CF8" w:rsidP="00231CF8">
      <w:pPr>
        <w:spacing w:after="5" w:line="242" w:lineRule="auto"/>
        <w:ind w:left="10" w:hanging="10"/>
        <w:jc w:val="both"/>
        <w:rPr>
          <w:rFonts w:ascii="Cambria" w:eastAsia="Times New Roman" w:hAnsi="Cambria" w:cs="Cambria"/>
          <w:b/>
          <w:bCs/>
          <w:sz w:val="28"/>
          <w:szCs w:val="28"/>
        </w:rPr>
      </w:pPr>
      <w:r w:rsidRPr="00467EE3">
        <w:rPr>
          <w:rFonts w:ascii="Cambria" w:eastAsia="Calibri" w:hAnsi="Cambria" w:cs="Cambria"/>
          <w:b/>
          <w:color w:val="000000"/>
        </w:rPr>
        <w:t xml:space="preserve">Kako bi se ponuda smatrala valjanom, ponuđeni predmet nabave mora zadovoljiti sve što je traženo u obrascu Tehničkih specifikacija./ </w:t>
      </w:r>
      <w:r w:rsidRPr="00467EE3">
        <w:rPr>
          <w:rFonts w:ascii="Cambria" w:eastAsia="Calibri" w:hAnsi="Cambria" w:cs="Cambria"/>
          <w:b/>
          <w:color w:val="5B9BD5"/>
        </w:rPr>
        <w:t xml:space="preserve">For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offer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to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be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considered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as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compliant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,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offered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supplies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must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meet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all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the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requirements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presented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in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the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Technical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</w:t>
      </w:r>
      <w:proofErr w:type="spellStart"/>
      <w:r w:rsidRPr="00467EE3">
        <w:rPr>
          <w:rFonts w:ascii="Cambria" w:eastAsia="Calibri" w:hAnsi="Cambria" w:cs="Cambria"/>
          <w:b/>
          <w:color w:val="5B9BD5"/>
        </w:rPr>
        <w:t>Specifications</w:t>
      </w:r>
      <w:proofErr w:type="spellEnd"/>
      <w:r w:rsidRPr="00467EE3">
        <w:rPr>
          <w:rFonts w:ascii="Cambria" w:eastAsia="Calibri" w:hAnsi="Cambria" w:cs="Cambria"/>
          <w:b/>
          <w:color w:val="5B9BD5"/>
        </w:rPr>
        <w:t xml:space="preserve"> </w:t>
      </w:r>
      <w:r w:rsidRPr="00467EE3">
        <w:rPr>
          <w:rFonts w:ascii="Cambria" w:eastAsia="Calibri" w:hAnsi="Cambria" w:cs="Cambria"/>
          <w:b/>
          <w:color w:val="000000"/>
        </w:rPr>
        <w:t xml:space="preserve"> </w:t>
      </w:r>
    </w:p>
    <w:p w14:paraId="120461C5" w14:textId="124C03DA" w:rsidR="00231CF8" w:rsidRDefault="00231CF8" w:rsidP="004E5DC8">
      <w:pPr>
        <w:rPr>
          <w:rFonts w:ascii="Cambria" w:hAnsi="Cambria" w:cs="Times New Roman"/>
          <w:b/>
          <w:bCs/>
          <w:lang w:bidi="hr-HR"/>
        </w:rPr>
      </w:pPr>
    </w:p>
    <w:p w14:paraId="093C82CA" w14:textId="4930C3B6" w:rsidR="00231CF8" w:rsidRDefault="00231CF8" w:rsidP="004E5DC8">
      <w:pPr>
        <w:rPr>
          <w:rFonts w:ascii="Cambria" w:hAnsi="Cambria" w:cs="Times New Roman"/>
          <w:b/>
          <w:bCs/>
          <w:lang w:bidi="hr-HR"/>
        </w:rPr>
      </w:pPr>
    </w:p>
    <w:p w14:paraId="6ED0E738" w14:textId="77777777" w:rsidR="00231CF8" w:rsidRDefault="00231CF8" w:rsidP="004E5DC8">
      <w:pPr>
        <w:rPr>
          <w:rFonts w:ascii="Cambria" w:hAnsi="Cambria" w:cs="Times New Roman"/>
          <w:b/>
          <w:bCs/>
          <w:lang w:bidi="hr-HR"/>
        </w:rPr>
      </w:pPr>
    </w:p>
    <w:p w14:paraId="6AF3BAD7" w14:textId="0B5BECE5" w:rsidR="00231CF8" w:rsidRDefault="00231CF8" w:rsidP="004E5DC8">
      <w:pPr>
        <w:rPr>
          <w:rFonts w:ascii="Cambria" w:hAnsi="Cambria" w:cs="Times New Roman"/>
          <w:b/>
          <w:bCs/>
          <w:lang w:bidi="hr-HR"/>
        </w:rPr>
      </w:pPr>
    </w:p>
    <w:p w14:paraId="609BCF20" w14:textId="77777777" w:rsidR="00231CF8" w:rsidRPr="00FD66CA" w:rsidRDefault="00231CF8" w:rsidP="004E5DC8">
      <w:pPr>
        <w:rPr>
          <w:rFonts w:ascii="Cambria" w:hAnsi="Cambria" w:cs="Times New Roman"/>
          <w:b/>
          <w:bCs/>
          <w:lang w:bidi="hr-HR"/>
        </w:rPr>
      </w:pPr>
    </w:p>
    <w:tbl>
      <w:tblPr>
        <w:tblW w:w="14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5851"/>
        <w:gridCol w:w="3028"/>
        <w:gridCol w:w="1985"/>
        <w:gridCol w:w="2150"/>
      </w:tblGrid>
      <w:tr w:rsidR="004E5DC8" w:rsidRPr="00FD66CA" w14:paraId="7B54F049" w14:textId="77777777" w:rsidTr="00FD7082">
        <w:trPr>
          <w:trHeight w:val="146"/>
        </w:trPr>
        <w:tc>
          <w:tcPr>
            <w:tcW w:w="1245" w:type="dxa"/>
            <w:shd w:val="clear" w:color="auto" w:fill="9CC2E5" w:themeFill="accent5" w:themeFillTint="99"/>
            <w:noWrap/>
            <w:vAlign w:val="center"/>
          </w:tcPr>
          <w:p w14:paraId="23F0F0B5" w14:textId="77777777" w:rsidR="004E5DC8" w:rsidRPr="00FD66CA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1.Stavka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Item</w:t>
            </w:r>
            <w:proofErr w:type="spellEnd"/>
          </w:p>
        </w:tc>
        <w:tc>
          <w:tcPr>
            <w:tcW w:w="5851" w:type="dxa"/>
            <w:shd w:val="clear" w:color="auto" w:fill="9CC2E5" w:themeFill="accent5" w:themeFillTint="99"/>
            <w:vAlign w:val="center"/>
          </w:tcPr>
          <w:p w14:paraId="6D4F17AF" w14:textId="77777777" w:rsidR="004E5DC8" w:rsidRPr="00FD66CA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14:paraId="0E4C7CCE" w14:textId="77777777" w:rsidR="004E5DC8" w:rsidRPr="00FD66CA" w:rsidRDefault="004E5DC8" w:rsidP="00D74F1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2. Tražene karakteristike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Required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characteristics</w:t>
            </w:r>
            <w:proofErr w:type="spellEnd"/>
          </w:p>
        </w:tc>
        <w:tc>
          <w:tcPr>
            <w:tcW w:w="3028" w:type="dxa"/>
            <w:shd w:val="clear" w:color="auto" w:fill="9CC2E5" w:themeFill="accent5" w:themeFillTint="99"/>
            <w:noWrap/>
            <w:vAlign w:val="center"/>
          </w:tcPr>
          <w:p w14:paraId="275C916D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3. Ponuđene karakteristike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Offered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characteristics</w:t>
            </w:r>
            <w:proofErr w:type="spellEnd"/>
          </w:p>
        </w:tc>
        <w:tc>
          <w:tcPr>
            <w:tcW w:w="1985" w:type="dxa"/>
            <w:shd w:val="clear" w:color="auto" w:fill="9CC2E5" w:themeFill="accent5" w:themeFillTint="99"/>
            <w:noWrap/>
            <w:vAlign w:val="center"/>
          </w:tcPr>
          <w:p w14:paraId="2543CAFB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Bilješke, napomene, reference na dokumentaciju / Notes,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references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to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documentation</w:t>
            </w:r>
            <w:proofErr w:type="spellEnd"/>
          </w:p>
        </w:tc>
        <w:tc>
          <w:tcPr>
            <w:tcW w:w="2150" w:type="dxa"/>
            <w:shd w:val="clear" w:color="auto" w:fill="9CC2E5" w:themeFill="accent5" w:themeFillTint="99"/>
            <w:noWrap/>
            <w:vAlign w:val="center"/>
          </w:tcPr>
          <w:p w14:paraId="34CEC47E" w14:textId="77777777" w:rsidR="004E5DC8" w:rsidRPr="00FD66CA" w:rsidRDefault="004E5DC8" w:rsidP="00D74F10">
            <w:pPr>
              <w:spacing w:after="0" w:line="240" w:lineRule="auto"/>
              <w:ind w:firstLine="1528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Ocjene (da/ne) /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Evaluation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yes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>/no)</w:t>
            </w:r>
          </w:p>
        </w:tc>
      </w:tr>
      <w:tr w:rsidR="00FD7082" w:rsidRPr="00FD66CA" w14:paraId="47042F87" w14:textId="77777777" w:rsidTr="00231CF8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DFFF6" w14:textId="4FAA75D5" w:rsidR="00FD7082" w:rsidRPr="00FD66CA" w:rsidRDefault="00FD7082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color w:val="000000"/>
              </w:rPr>
              <w:t>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6C30" w14:textId="43FA1413" w:rsidR="00FD7082" w:rsidRPr="00FD66CA" w:rsidRDefault="00FD7082" w:rsidP="007947CF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Razvoj i implementacija novog softvera za unapređenje poslovnih procesa na imanju / </w:t>
            </w:r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Development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and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implementation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of the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new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software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designed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for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improvement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of business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processes</w:t>
            </w:r>
            <w:proofErr w:type="spellEnd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 on the </w:t>
            </w:r>
            <w:proofErr w:type="spellStart"/>
            <w:r w:rsidRPr="00FD66CA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ranch</w:t>
            </w:r>
            <w:proofErr w:type="spellEnd"/>
          </w:p>
        </w:tc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FC7974D" w14:textId="77777777" w:rsidR="00FD7082" w:rsidRPr="00FD66CA" w:rsidRDefault="00FD7082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</w:p>
        </w:tc>
      </w:tr>
      <w:tr w:rsidR="004E5DC8" w:rsidRPr="00FD66CA" w14:paraId="5BCFEAE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01D9F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0C7E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 xml:space="preserve">Proizvođač/marka: / </w:t>
            </w:r>
            <w:proofErr w:type="spellStart"/>
            <w:r w:rsidRPr="00FD66CA">
              <w:rPr>
                <w:rFonts w:ascii="Cambria" w:eastAsia="Times New Roman" w:hAnsi="Cambria" w:cs="Times New Roman"/>
                <w:color w:val="000000"/>
              </w:rPr>
              <w:t>Manufacturer</w:t>
            </w:r>
            <w:proofErr w:type="spellEnd"/>
            <w:r w:rsidRPr="00FD66CA">
              <w:rPr>
                <w:rFonts w:ascii="Cambria" w:eastAsia="Times New Roman" w:hAnsi="Cambria" w:cs="Times New Roman"/>
                <w:color w:val="000000"/>
              </w:rPr>
              <w:t>/brand: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50C4C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5A73C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D8ABB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FD66CA" w14:paraId="34BEE537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4220C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F6AF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Model/tip: / Model/</w:t>
            </w:r>
            <w:proofErr w:type="spellStart"/>
            <w:r w:rsidRPr="00FD66CA">
              <w:rPr>
                <w:rFonts w:ascii="Cambria" w:eastAsia="Times New Roman" w:hAnsi="Cambria" w:cs="Times New Roman"/>
                <w:color w:val="000000"/>
              </w:rPr>
              <w:t>type</w:t>
            </w:r>
            <w:proofErr w:type="spellEnd"/>
            <w:r w:rsidRPr="00FD66CA">
              <w:rPr>
                <w:rFonts w:ascii="Cambria" w:eastAsia="Times New Roman" w:hAnsi="Cambria" w:cs="Times New Roman"/>
                <w:color w:val="000000"/>
              </w:rPr>
              <w:t>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6669F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BD3CE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94AFE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FD66CA" w14:paraId="0F84FAE6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C3AE3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CA04" w14:textId="24FB5A95" w:rsidR="004E5DC8" w:rsidRPr="00FD66CA" w:rsidRDefault="004E5DC8" w:rsidP="00FC4C3E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 xml:space="preserve">Količina: </w:t>
            </w:r>
            <w:r w:rsidR="00FC4C3E" w:rsidRPr="00FD66CA">
              <w:rPr>
                <w:rFonts w:ascii="Cambria" w:eastAsia="Times New Roman" w:hAnsi="Cambria" w:cs="Times New Roman"/>
                <w:color w:val="000000"/>
              </w:rPr>
              <w:t>1</w:t>
            </w:r>
            <w:r w:rsidR="00A725CE">
              <w:rPr>
                <w:rFonts w:ascii="Cambria" w:eastAsia="Times New Roman" w:hAnsi="Cambria" w:cs="Times New Roman"/>
                <w:color w:val="000000"/>
              </w:rPr>
              <w:t xml:space="preserve"> ugovor</w:t>
            </w:r>
            <w:r w:rsidRPr="00FD66CA">
              <w:rPr>
                <w:rFonts w:ascii="Cambria" w:eastAsia="Times New Roman" w:hAnsi="Cambria" w:cs="Times New Roman"/>
                <w:color w:val="000000"/>
              </w:rPr>
              <w:t xml:space="preserve">  / </w:t>
            </w:r>
            <w:proofErr w:type="spellStart"/>
            <w:r w:rsidRPr="00FD66CA">
              <w:rPr>
                <w:rFonts w:ascii="Cambria" w:eastAsia="Times New Roman" w:hAnsi="Cambria" w:cs="Times New Roman"/>
                <w:color w:val="000000"/>
              </w:rPr>
              <w:t>Quantity</w:t>
            </w:r>
            <w:proofErr w:type="spellEnd"/>
            <w:r w:rsidRPr="00FD66CA">
              <w:rPr>
                <w:rFonts w:ascii="Cambria" w:eastAsia="Times New Roman" w:hAnsi="Cambria" w:cs="Times New Roman"/>
                <w:color w:val="000000"/>
              </w:rPr>
              <w:t xml:space="preserve">: </w:t>
            </w:r>
            <w:r w:rsidR="00FC4C3E" w:rsidRPr="00FD66CA">
              <w:rPr>
                <w:rFonts w:ascii="Cambria" w:eastAsia="Times New Roman" w:hAnsi="Cambria" w:cs="Times New Roman"/>
                <w:color w:val="000000"/>
              </w:rPr>
              <w:t>1</w:t>
            </w:r>
            <w:r w:rsidR="00A725CE"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proofErr w:type="spellStart"/>
            <w:r w:rsidR="00A725CE">
              <w:rPr>
                <w:rFonts w:ascii="Cambria" w:eastAsia="Times New Roman" w:hAnsi="Cambria" w:cs="Times New Roman"/>
                <w:color w:val="000000"/>
              </w:rPr>
              <w:t>contract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D418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271FC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C583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4E5DC8" w:rsidRPr="00FD66CA" w14:paraId="696B0AC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A07E4" w14:textId="4E69340D" w:rsidR="004E5DC8" w:rsidRPr="00FD66CA" w:rsidRDefault="003B21DD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1</w:t>
            </w:r>
            <w:r w:rsidR="004E5DC8" w:rsidRPr="00FD66CA">
              <w:rPr>
                <w:rFonts w:ascii="Cambria" w:eastAsia="Times New Roman" w:hAnsi="Cambria" w:cs="Times New Roman"/>
                <w:color w:val="000000"/>
              </w:rPr>
              <w:t>.1.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BAD3" w14:textId="65216EA4" w:rsidR="004E5DC8" w:rsidRPr="00A725CE" w:rsidRDefault="008B0825" w:rsidP="00FC4C3E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CRM MODUL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: </w:t>
            </w:r>
            <w:r w:rsidR="00FC4C3E" w:rsidRPr="00FD66CA">
              <w:rPr>
                <w:rFonts w:ascii="Cambria" w:eastAsia="Times New Roman" w:hAnsi="Cambria" w:cs="Times New Roman"/>
                <w:bCs/>
                <w:color w:val="000000"/>
              </w:rPr>
              <w:t>upravljanje odnosima s kupcima, praćenje prodajnih aktivnosti od prvog kontakta sve do zaključivanja prodaje, evidencija poslovnih prilika, vođenje rokovnika, praćenje dolaznih i odlaznih telefonskih poziva, praćenje post-prodajnih aktivnosti, izvještavanje po prodajnim aktivnostima, integracija sa poznatim e-mail klijentima i mobilnim uređajima</w:t>
            </w:r>
            <w:r w:rsidR="00BE129C" w:rsidRPr="00FD66CA">
              <w:rPr>
                <w:rFonts w:ascii="Cambria" w:eastAsia="Times New Roman" w:hAnsi="Cambria" w:cs="Times New Roman"/>
                <w:bCs/>
                <w:color w:val="000000"/>
              </w:rPr>
              <w:t>, integracija sa ostalim modulima u sustavu</w:t>
            </w:r>
            <w:r w:rsidR="00A725CE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A725CE" w:rsidRPr="002166B3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>CRM MODULE</w:t>
            </w:r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customer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relations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management,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sales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activities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from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initial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contact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sale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closure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record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business </w:t>
            </w:r>
            <w:proofErr w:type="spellStart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>opportunities</w:t>
            </w:r>
            <w:proofErr w:type="spellEnd"/>
            <w:r w:rsidR="00A725CE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planner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management,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incoming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outgoing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calls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post-sale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activities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sales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activities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reporting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integration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email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clients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mobile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devices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integration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other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modules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system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51A5F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1BA07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A80C7" w14:textId="77777777" w:rsidR="004E5DC8" w:rsidRPr="00FD66CA" w:rsidRDefault="004E5DC8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2823475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BB112" w14:textId="78FD74F3" w:rsidR="008B0825" w:rsidRPr="00FD66CA" w:rsidRDefault="001A1F9C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lastRenderedPageBreak/>
              <w:t>1.2.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CFB6" w14:textId="767089C3" w:rsidR="008B0825" w:rsidRPr="002166B3" w:rsidRDefault="001A1F9C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REZERVACIJSKI MODUL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>: omogućuje rezervaciju smještaja putem web stranice i ostalih prodajnih kanala, ažuriranje kalendara dostupnosti smještaja na web stranici i ostalim prodajnim kanalima, omogućeno plaćanje preko web stranice, mogućnost izmjene rezervacije putem web stranice</w:t>
            </w:r>
            <w:r w:rsidR="002166B3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2166B3" w:rsidRPr="002166B3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>RESERVATION MODULE</w:t>
            </w:r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: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enables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reservation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accommodation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via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website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other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channe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ls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updating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availability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ca</w:t>
            </w:r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lendar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on the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website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other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channels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enabled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payment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via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website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possibility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reservation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editing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via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website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16099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37B23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D857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68B95DC1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9902C" w14:textId="048D713C" w:rsidR="008B0825" w:rsidRPr="00FD66CA" w:rsidRDefault="003E6A0C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1.3.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B423" w14:textId="44F8E129" w:rsidR="00047C77" w:rsidRPr="00FD66CA" w:rsidRDefault="001A1F9C" w:rsidP="00047C77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RECEPCIJSKI MODUL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: </w:t>
            </w:r>
            <w:r w:rsidR="00047C77"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pokriva poslove rada prodaje, recepcije i </w:t>
            </w:r>
          </w:p>
          <w:p w14:paraId="16BCD71B" w14:textId="377B85DA" w:rsidR="008B0825" w:rsidRPr="002166B3" w:rsidRDefault="00047C77" w:rsidP="00346B49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>pratećih s</w:t>
            </w:r>
            <w:r w:rsidR="003E6A0C"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lužbi, dodjeljuje smještaj po zahtjevima gosta, kontrolira zauzeće smještaja, kontrolira cijene i popuste, definira ili mijenja obroke, omogućuje jedinstveno spremanje i praćenje svih kontakata, skeniranje osobnih dokumenata i unos u CRM bazu, mogućnost </w:t>
            </w:r>
            <w:proofErr w:type="spellStart"/>
            <w:r w:rsidR="003E6A0C" w:rsidRPr="00FD66CA">
              <w:rPr>
                <w:rFonts w:ascii="Cambria" w:eastAsia="Times New Roman" w:hAnsi="Cambria" w:cs="Times New Roman"/>
                <w:bCs/>
                <w:color w:val="000000"/>
              </w:rPr>
              <w:t>obaviještavanja</w:t>
            </w:r>
            <w:proofErr w:type="spellEnd"/>
            <w:r w:rsidR="003E6A0C"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djelatnika o potrebi čišćenja ili održavanja objekta</w:t>
            </w:r>
            <w:r w:rsidR="00BE129C" w:rsidRPr="00FD66CA">
              <w:rPr>
                <w:rFonts w:ascii="Cambria" w:eastAsia="Times New Roman" w:hAnsi="Cambria" w:cs="Times New Roman"/>
                <w:bCs/>
                <w:color w:val="000000"/>
              </w:rPr>
              <w:t>, integracija sa mobilnim uređajima</w:t>
            </w:r>
            <w:r w:rsidR="002166B3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2166B3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>RECEPTION MODULE</w:t>
            </w:r>
            <w:r w:rsidR="002166B3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:</w:t>
            </w:r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covers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affairs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reception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sales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support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services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l</w:t>
            </w:r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locates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accommodation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per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guest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request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tracks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accommodation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availability,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tracks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prices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discounts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defines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or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changes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meals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allo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ws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saving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ontacts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scanning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personal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I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D</w:t>
            </w:r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s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input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into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CRM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database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possibility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alerting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employee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about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cle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a</w:t>
            </w:r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ning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maintenance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integration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with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mobile</w:t>
            </w:r>
            <w:proofErr w:type="spellEnd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2166B3">
              <w:rPr>
                <w:rFonts w:ascii="Cambria" w:eastAsia="Times New Roman" w:hAnsi="Cambria" w:cs="Times New Roman"/>
                <w:bCs/>
                <w:color w:val="5B9BD5" w:themeColor="accent5"/>
              </w:rPr>
              <w:t>devices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4E898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FB7E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BD64F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47999823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1748E" w14:textId="413DBF79" w:rsidR="008B0825" w:rsidRPr="00FD66CA" w:rsidRDefault="003E6A0C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1.4.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5A42" w14:textId="0D5CBBC1" w:rsidR="008B0825" w:rsidRPr="002166B3" w:rsidRDefault="003E6A0C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MODUL RESTORAN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: konzumacija hrane </w:t>
            </w:r>
            <w:r w:rsidR="00BE129C"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i pića 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povezana s glavnim računom gosta, povezanost konzumacije hrane sa stanjem skladišta, </w:t>
            </w:r>
            <w:r w:rsidR="00BC6BCB" w:rsidRPr="00FD66CA">
              <w:rPr>
                <w:rFonts w:ascii="Cambria" w:eastAsia="Times New Roman" w:hAnsi="Cambria" w:cs="Times New Roman"/>
                <w:bCs/>
                <w:color w:val="000000"/>
              </w:rPr>
              <w:t>praćenje stanja zaliha, izdavanje računa, izrada menija</w:t>
            </w:r>
            <w:r w:rsidR="002166B3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2166B3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>RESTAURANT MODULE</w:t>
            </w:r>
            <w:r w:rsidR="002166B3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 xml:space="preserve">: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consumption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food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beverages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linked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the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guest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main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account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lastRenderedPageBreak/>
              <w:t>consumption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food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beverages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linked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main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storage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inventory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invoices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issuing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menu</w:t>
            </w:r>
            <w:proofErr w:type="spellEnd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 w:rsidRP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creation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05450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F860F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6D72D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3B7CE3EB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4B958" w14:textId="47A4B4F3" w:rsidR="008B0825" w:rsidRPr="00FD66CA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1.5.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54FC" w14:textId="6C9D07F9" w:rsidR="008B0825" w:rsidRPr="00444F53" w:rsidRDefault="00BC6BCB" w:rsidP="00444F53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MODUL NABAVA I UPRAVLJANJE ZALIHAMA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: omogućuje izradu i praćenje nabave, prijema robe i kontrolu dobavljača, </w:t>
            </w:r>
            <w:r w:rsidR="000E0253" w:rsidRPr="00FD66CA">
              <w:rPr>
                <w:rFonts w:ascii="Cambria" w:eastAsia="Times New Roman" w:hAnsi="Cambria" w:cs="Times New Roman"/>
                <w:bCs/>
                <w:color w:val="000000"/>
              </w:rPr>
              <w:t>automatiziranje procesa nabavke robe i sirovina, evidencija upita dobavljačima, narudžbe, vođenje rokovnika, kontrola prijema robe (naručeno – isporučeno),  kontrola kvalitete, evidencija ulaznih računa i izvještavanje  po aktivnostima nabave i isporuke dobavljača, praćenje isporuka i kretanje zaliha po vremenskom ključu</w:t>
            </w:r>
            <w:r w:rsidR="00444F53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444F53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>PROCUREMENT AND INVENTORY MANAGEMENT MODULE</w:t>
            </w:r>
            <w:r w:rsidR="00444F53">
              <w:rPr>
                <w:rFonts w:ascii="Cambria" w:eastAsia="Times New Roman" w:hAnsi="Cambria" w:cs="Times New Roman"/>
                <w:b/>
                <w:bCs/>
                <w:color w:val="5B9BD5" w:themeColor="accent5"/>
              </w:rPr>
              <w:t>:</w:t>
            </w:r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allows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creation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procurement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reception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goods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supplier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control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automatization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goods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procurement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record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inquiries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sent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suppliers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orders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record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keeping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goods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reception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control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(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ordered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-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delivered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),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quality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control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invoices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recording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upon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delivery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reporting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deliveries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inventory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43697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F200B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CE9A9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43D23AD9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A5581" w14:textId="5443AF59" w:rsidR="008B0825" w:rsidRPr="00FD66CA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1.6.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00F0" w14:textId="094B4058" w:rsidR="008B0825" w:rsidRPr="00444F53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MODUL URED AKTIVNOSTI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: povezanost s recepcijom i CRM bazom, automatsko ažuriranje kalendara dostupnosti aktivnosti, </w:t>
            </w:r>
            <w:r w:rsidR="00BE129C" w:rsidRPr="00FD66CA">
              <w:rPr>
                <w:rFonts w:ascii="Cambria" w:eastAsia="Times New Roman" w:hAnsi="Cambria" w:cs="Times New Roman"/>
                <w:bCs/>
                <w:color w:val="000000"/>
              </w:rPr>
              <w:t>mogućnost izdavanja računa</w:t>
            </w:r>
            <w:r w:rsidR="00444F53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444F53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 xml:space="preserve">ACTIVITIES OFFICE MODULE: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connected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reception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CRM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database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automat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ic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updating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availability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cal</w:t>
            </w:r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endar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>activities</w:t>
            </w:r>
            <w:proofErr w:type="spellEnd"/>
            <w:r w:rsidR="00444F5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invoices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issuing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3F78B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C48D1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2520B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775EC950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CFE7" w14:textId="43AACC50" w:rsidR="008B0825" w:rsidRPr="00FD66CA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1.7.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AE0E" w14:textId="26F8E139" w:rsidR="008B0825" w:rsidRPr="00FB6922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MODUL DAROVNI DUĆAN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>: integriranost kupnje na glavnom računu gosta, povezanost s recepcijom i CRM bazom, povezanost sa stanjem skladišta</w:t>
            </w:r>
            <w:r w:rsidR="00BE129C" w:rsidRPr="00FD66CA">
              <w:rPr>
                <w:rFonts w:ascii="Cambria" w:eastAsia="Times New Roman" w:hAnsi="Cambria" w:cs="Times New Roman"/>
                <w:bCs/>
                <w:color w:val="000000"/>
              </w:rPr>
              <w:t>, mogućnost izdavanja računa</w:t>
            </w:r>
            <w:r w:rsidR="00FB6922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FB6922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 xml:space="preserve">GIFT SHOP MODULE: </w:t>
            </w:r>
            <w:proofErr w:type="spellStart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shopping</w:t>
            </w:r>
            <w:proofErr w:type="spellEnd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integrated</w:t>
            </w:r>
            <w:proofErr w:type="spellEnd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the </w:t>
            </w:r>
            <w:proofErr w:type="spellStart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main</w:t>
            </w:r>
            <w:proofErr w:type="spellEnd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account</w:t>
            </w:r>
            <w:proofErr w:type="spellEnd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="00FB6922" w:rsidRP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guest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connected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reception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CRM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database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connected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storage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inventory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invoices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issuing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02075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A0C62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9EA51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4F48889E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F6B48" w14:textId="0A6CF0E2" w:rsidR="008B0825" w:rsidRPr="00FD66CA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lastRenderedPageBreak/>
              <w:t>1.8.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8325" w14:textId="453F939B" w:rsidR="008B0825" w:rsidRPr="00FB6922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WEB SHOP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: povezanost s modulom skladišta i CRM bazom podataka, mogućnost kartične naplate artikala, mogućnost unosa opisa artikala na više jezika, </w:t>
            </w:r>
            <w:r w:rsidR="0082476B" w:rsidRPr="00FD66CA">
              <w:rPr>
                <w:rFonts w:ascii="Cambria" w:eastAsia="Times New Roman" w:hAnsi="Cambria" w:cs="Times New Roman"/>
                <w:bCs/>
                <w:color w:val="000000"/>
              </w:rPr>
              <w:t>mogućnost praćenja statistike kupaca, mogućnost izvještavanja</w:t>
            </w:r>
            <w:r w:rsidR="00BE129C" w:rsidRPr="00FD66CA">
              <w:rPr>
                <w:rFonts w:ascii="Cambria" w:eastAsia="Times New Roman" w:hAnsi="Cambria" w:cs="Times New Roman"/>
                <w:bCs/>
                <w:color w:val="000000"/>
              </w:rPr>
              <w:t>, mogućnost izdavanja računa</w:t>
            </w:r>
            <w:r w:rsidR="00FB6922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FB6922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 xml:space="preserve">WEB SHOP: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connected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storage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inventory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CRM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database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credit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card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payment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multiple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languages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article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description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customer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statistics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reporting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invoice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issuing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B020E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A7DDE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BA2FC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B0825" w:rsidRPr="00FD66CA" w14:paraId="12E1A6BA" w14:textId="77777777" w:rsidTr="00D74F10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D3FE" w14:textId="1061BD16" w:rsidR="008B0825" w:rsidRPr="00FD66CA" w:rsidRDefault="000E0253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color w:val="000000"/>
              </w:rPr>
              <w:t>1.9.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880D" w14:textId="638923CC" w:rsidR="008B0825" w:rsidRPr="00FB6922" w:rsidRDefault="000E0253" w:rsidP="00346B49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5B9BD5" w:themeColor="accent5"/>
              </w:rPr>
            </w:pPr>
            <w:r w:rsidRPr="00FD66CA"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  <w:t>MODUL LJUDSKI RESURSI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: </w:t>
            </w:r>
            <w:r w:rsidR="0082476B"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definiranje projekata i strukture, dugoročno planiranje, vođenje resursa po projektima, praćenje vremena </w:t>
            </w:r>
            <w:proofErr w:type="spellStart"/>
            <w:r w:rsidR="0082476B" w:rsidRPr="00FD66CA">
              <w:rPr>
                <w:rFonts w:ascii="Cambria" w:eastAsia="Times New Roman" w:hAnsi="Cambria" w:cs="Times New Roman"/>
                <w:bCs/>
                <w:color w:val="000000"/>
              </w:rPr>
              <w:t>odrada</w:t>
            </w:r>
            <w:proofErr w:type="spellEnd"/>
            <w:r w:rsidR="0082476B"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(time </w:t>
            </w:r>
            <w:proofErr w:type="spellStart"/>
            <w:r w:rsidR="0082476B" w:rsidRPr="00FD66CA">
              <w:rPr>
                <w:rFonts w:ascii="Cambria" w:eastAsia="Times New Roman" w:hAnsi="Cambria" w:cs="Times New Roman"/>
                <w:bCs/>
                <w:color w:val="000000"/>
              </w:rPr>
              <w:t>sheets</w:t>
            </w:r>
            <w:proofErr w:type="spellEnd"/>
            <w:r w:rsidR="0082476B" w:rsidRPr="00FD66CA">
              <w:rPr>
                <w:rFonts w:ascii="Cambria" w:eastAsia="Times New Roman" w:hAnsi="Cambria" w:cs="Times New Roman"/>
                <w:bCs/>
                <w:color w:val="000000"/>
              </w:rPr>
              <w:t>), eskalacija kašnjenja, izvještavanje po projektima, mogućnost bilježenja radnih zadataka, putnih naloga i slanja obavijesti</w:t>
            </w:r>
            <w:r w:rsidR="00BE129C" w:rsidRPr="00FD66CA">
              <w:rPr>
                <w:rFonts w:ascii="Cambria" w:eastAsia="Times New Roman" w:hAnsi="Cambria" w:cs="Times New Roman"/>
                <w:bCs/>
                <w:color w:val="000000"/>
              </w:rPr>
              <w:t>, evidencija dolaska na posao, godišnjeg odmora, bolovanja, upotreba voznog parka</w:t>
            </w:r>
            <w:r w:rsidR="00FB6922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r w:rsidR="00FB6922">
              <w:rPr>
                <w:rFonts w:ascii="Cambria" w:eastAsia="Times New Roman" w:hAnsi="Cambria" w:cs="Times New Roman"/>
                <w:b/>
                <w:bCs/>
                <w:color w:val="5B9BD5" w:themeColor="accent5"/>
                <w:u w:val="single"/>
              </w:rPr>
              <w:t xml:space="preserve">HUMAN RESOURCES MODULE: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proje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ts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structure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defining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long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term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planning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running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resources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by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proje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ts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time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sheets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delay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escalation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proje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t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reporting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work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assignments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travel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orders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notifications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>tracking</w:t>
            </w:r>
            <w:proofErr w:type="spellEnd"/>
            <w:r w:rsidR="00FB6922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coming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work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vacation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sick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leave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and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usage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vehicles</w:t>
            </w:r>
            <w:proofErr w:type="spellEnd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recording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206DA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DD8E0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5D0A1" w14:textId="77777777" w:rsidR="008B0825" w:rsidRPr="00FD66CA" w:rsidRDefault="008B0825" w:rsidP="00D74F10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C2505" w:rsidRPr="00FD66CA" w14:paraId="1C029F70" w14:textId="77777777" w:rsidTr="00FD7082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3465" w14:textId="449F1920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color w:val="000000"/>
              </w:rPr>
              <w:t>2.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FFB4" w14:textId="4D004044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</w:pP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Isporuka za sve stavke Grupe </w:t>
            </w:r>
            <w:r w:rsidR="000539B8">
              <w:rPr>
                <w:rFonts w:ascii="Cambria" w:eastAsia="Times New Roman" w:hAnsi="Cambria" w:cs="Times New Roman"/>
                <w:bCs/>
                <w:color w:val="000000"/>
              </w:rPr>
              <w:t>1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na adresi Naručitelja u roku od najviše 30 dana / </w:t>
            </w:r>
            <w:proofErr w:type="spellStart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Delivery</w:t>
            </w:r>
            <w:proofErr w:type="spellEnd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>items</w:t>
            </w:r>
            <w:proofErr w:type="spellEnd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>Lot</w:t>
            </w:r>
            <w:proofErr w:type="spellEnd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1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at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address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Contracting</w:t>
            </w:r>
            <w:proofErr w:type="spellEnd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Authority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30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days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C5D5B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6320B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A9C80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C2505" w:rsidRPr="00FD66CA" w14:paraId="17842B66" w14:textId="77777777" w:rsidTr="00FD7082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1CB08" w14:textId="7A24CB4D" w:rsidR="008C2505" w:rsidRPr="00FD66CA" w:rsidRDefault="00467EE3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</w:rPr>
              <w:t>3</w:t>
            </w:r>
            <w:r w:rsidR="008C2505" w:rsidRPr="00FD66CA">
              <w:rPr>
                <w:rFonts w:ascii="Cambria" w:eastAsia="Times New Roman" w:hAnsi="Cambria" w:cs="Times New Roman"/>
                <w:b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A622" w14:textId="6EC7D819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</w:pP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Implementacija svih stavki  Grupe </w:t>
            </w:r>
            <w:r w:rsidR="000539B8">
              <w:rPr>
                <w:rFonts w:ascii="Cambria" w:eastAsia="Times New Roman" w:hAnsi="Cambria" w:cs="Times New Roman"/>
                <w:bCs/>
                <w:color w:val="000000"/>
              </w:rPr>
              <w:t>1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>, na adresi Naručitelja u roku od  najviše 5 dana</w:t>
            </w:r>
            <w:r w:rsidR="00FD7082"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poslije isporuke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/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Implementation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items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>Lot</w:t>
            </w:r>
            <w:proofErr w:type="spellEnd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1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at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address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ontracting</w:t>
            </w:r>
            <w:proofErr w:type="spellEnd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Authority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5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days</w:t>
            </w:r>
            <w:proofErr w:type="spellEnd"/>
            <w:r w:rsidR="007F676D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7F676D">
              <w:rPr>
                <w:rFonts w:ascii="Cambria" w:eastAsia="Times New Roman" w:hAnsi="Cambria" w:cs="Times New Roman"/>
                <w:bCs/>
                <w:color w:val="5B9BD5" w:themeColor="accent5"/>
              </w:rPr>
              <w:t>after</w:t>
            </w:r>
            <w:proofErr w:type="spellEnd"/>
            <w:r w:rsidR="007F676D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="007F676D">
              <w:rPr>
                <w:rFonts w:ascii="Cambria" w:eastAsia="Times New Roman" w:hAnsi="Cambria" w:cs="Times New Roman"/>
                <w:bCs/>
                <w:color w:val="5B9BD5" w:themeColor="accent5"/>
              </w:rPr>
              <w:t>delivery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030FC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3E3BA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4288B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C2505" w:rsidRPr="00FD66CA" w14:paraId="31BDFB5D" w14:textId="77777777" w:rsidTr="00FD7082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D0F3" w14:textId="5450A303" w:rsidR="008C2505" w:rsidRPr="00FD66CA" w:rsidRDefault="00467EE3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</w:rPr>
              <w:t>4</w:t>
            </w:r>
            <w:r w:rsidR="008C2505" w:rsidRPr="00FD66CA">
              <w:rPr>
                <w:rFonts w:ascii="Cambria" w:eastAsia="Times New Roman" w:hAnsi="Cambria" w:cs="Times New Roman"/>
                <w:b/>
                <w:color w:val="000000"/>
              </w:rPr>
              <w:t>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DCE2" w14:textId="180B1173" w:rsidR="008C2505" w:rsidRPr="00FD66CA" w:rsidRDefault="008C2505" w:rsidP="00346B4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</w:pP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Puštanje u </w:t>
            </w:r>
            <w:r w:rsidR="00467EE3">
              <w:rPr>
                <w:rFonts w:ascii="Cambria" w:eastAsia="Times New Roman" w:hAnsi="Cambria" w:cs="Times New Roman"/>
                <w:bCs/>
                <w:color w:val="000000"/>
              </w:rPr>
              <w:t>rad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za sve stavke Grupe </w:t>
            </w:r>
            <w:r w:rsidR="000539B8">
              <w:rPr>
                <w:rFonts w:ascii="Cambria" w:eastAsia="Times New Roman" w:hAnsi="Cambria" w:cs="Times New Roman"/>
                <w:bCs/>
                <w:color w:val="000000"/>
              </w:rPr>
              <w:t>1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 na adresi Naručitelja u roku od najviše 5 dana</w:t>
            </w:r>
            <w:r w:rsidR="00467EE3">
              <w:rPr>
                <w:rFonts w:ascii="Cambria" w:eastAsia="Times New Roman" w:hAnsi="Cambria" w:cs="Times New Roman"/>
                <w:bCs/>
                <w:color w:val="000000"/>
              </w:rPr>
              <w:t xml:space="preserve"> nakon implementacije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. /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lastRenderedPageBreak/>
              <w:t>Commissioning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items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>Lot</w:t>
            </w:r>
            <w:proofErr w:type="spellEnd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1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at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address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ontracting</w:t>
            </w:r>
            <w:proofErr w:type="spellEnd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Authority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max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r w:rsidR="00346B49">
              <w:rPr>
                <w:rFonts w:ascii="Cambria" w:eastAsia="Times New Roman" w:hAnsi="Cambria" w:cs="Times New Roman"/>
                <w:bCs/>
                <w:color w:val="5B9BD5" w:themeColor="accent5"/>
              </w:rPr>
              <w:t>5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days</w:t>
            </w:r>
            <w:proofErr w:type="spellEnd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after</w:t>
            </w:r>
            <w:proofErr w:type="spellEnd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implementation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A571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7A3A2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D77E9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C2505" w:rsidRPr="00FD66CA" w14:paraId="16F255CB" w14:textId="77777777" w:rsidTr="00FD7082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B81FD" w14:textId="26AE06DB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color w:val="000000"/>
              </w:rPr>
              <w:t>6.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A445" w14:textId="529776EA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u w:val="single"/>
              </w:rPr>
            </w:pP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Edukacija korisnika tijekom 5 dana u prostorijama Naručitelja </w:t>
            </w:r>
            <w:r w:rsidR="00467EE3">
              <w:rPr>
                <w:rFonts w:ascii="Cambria" w:eastAsia="Times New Roman" w:hAnsi="Cambria" w:cs="Times New Roman"/>
                <w:bCs/>
                <w:color w:val="000000"/>
              </w:rPr>
              <w:t>nakon puštanja u rad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/ 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Education of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users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during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5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day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office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the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C</w:t>
            </w:r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ontracting</w:t>
            </w:r>
            <w:proofErr w:type="spellEnd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FD7082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Authority</w:t>
            </w:r>
            <w:proofErr w:type="spellEnd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afther</w:t>
            </w:r>
            <w:proofErr w:type="spellEnd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the </w:t>
            </w:r>
            <w:proofErr w:type="spellStart"/>
            <w:r w:rsidR="00467EE3">
              <w:rPr>
                <w:rFonts w:ascii="Cambria" w:eastAsia="Times New Roman" w:hAnsi="Cambria" w:cs="Times New Roman"/>
                <w:bCs/>
                <w:color w:val="5B9BD5" w:themeColor="accent5"/>
              </w:rPr>
              <w:t>commissioning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8D159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3F47D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18E2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8C2505" w:rsidRPr="00FD66CA" w14:paraId="4BB23711" w14:textId="77777777" w:rsidTr="00FD7082">
        <w:trPr>
          <w:trHeight w:val="39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B4197" w14:textId="7D49D38D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b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/>
                <w:color w:val="000000"/>
              </w:rPr>
              <w:t>7.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03E9" w14:textId="1538971B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Jamstvo za sve stavke Grupe </w:t>
            </w:r>
            <w:r w:rsidR="000539B8">
              <w:rPr>
                <w:rFonts w:ascii="Cambria" w:eastAsia="Times New Roman" w:hAnsi="Cambria" w:cs="Times New Roman"/>
                <w:bCs/>
                <w:color w:val="000000"/>
              </w:rPr>
              <w:t>1</w:t>
            </w:r>
            <w:r w:rsidRPr="00FD66CA">
              <w:rPr>
                <w:rFonts w:ascii="Cambria" w:eastAsia="Times New Roman" w:hAnsi="Cambria" w:cs="Times New Roman"/>
                <w:bCs/>
                <w:color w:val="000000"/>
              </w:rPr>
              <w:t xml:space="preserve">, sukladno Dokumentaciji za nadmetanje, minimalno 12 mjeseci /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Warranty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for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all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items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of </w:t>
            </w:r>
            <w:proofErr w:type="spellStart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>Lot</w:t>
            </w:r>
            <w:proofErr w:type="spellEnd"/>
            <w:r w:rsidR="000539B8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1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according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to </w:t>
            </w:r>
            <w:r w:rsidR="00FD66CA"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Tender</w:t>
            </w:r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Documentation</w:t>
            </w:r>
            <w:proofErr w:type="spellEnd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 xml:space="preserve">, minimum 12 </w:t>
            </w:r>
            <w:proofErr w:type="spellStart"/>
            <w:r w:rsidRPr="00FD66CA">
              <w:rPr>
                <w:rFonts w:ascii="Cambria" w:eastAsia="Times New Roman" w:hAnsi="Cambria" w:cs="Times New Roman"/>
                <w:bCs/>
                <w:color w:val="5B9BD5" w:themeColor="accent5"/>
              </w:rPr>
              <w:t>months</w:t>
            </w:r>
            <w:proofErr w:type="spellEnd"/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2FB7B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65E7F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40C8B" w14:textId="77777777" w:rsidR="008C2505" w:rsidRPr="00FD66CA" w:rsidRDefault="008C2505" w:rsidP="008C2505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</w:tbl>
    <w:p w14:paraId="31C539B8" w14:textId="7A20CDDD" w:rsidR="004E5DC8" w:rsidRDefault="004E5DC8" w:rsidP="004E5DC8">
      <w:pPr>
        <w:rPr>
          <w:rFonts w:ascii="Cambria" w:hAnsi="Cambria" w:cs="Times New Roman"/>
        </w:rPr>
      </w:pPr>
    </w:p>
    <w:p w14:paraId="5786929E" w14:textId="3A8AA299" w:rsidR="00FD66CA" w:rsidRDefault="00FD66CA" w:rsidP="004E5DC8">
      <w:pPr>
        <w:rPr>
          <w:rFonts w:ascii="Cambria" w:hAnsi="Cambria" w:cs="Times New Roman"/>
        </w:rPr>
      </w:pPr>
    </w:p>
    <w:p w14:paraId="098FE714" w14:textId="77777777" w:rsidR="00887A30" w:rsidRDefault="00887A30" w:rsidP="00231CF8">
      <w:pPr>
        <w:ind w:right="531"/>
        <w:jc w:val="center"/>
        <w:rPr>
          <w:rFonts w:ascii="Cambria" w:eastAsia="Calibri" w:hAnsi="Cambria" w:cs="Cambria"/>
          <w:color w:val="000000"/>
        </w:rPr>
      </w:pPr>
    </w:p>
    <w:p w14:paraId="4738853A" w14:textId="77777777" w:rsidR="00887A30" w:rsidRDefault="00887A30" w:rsidP="00231CF8">
      <w:pPr>
        <w:ind w:right="531"/>
        <w:jc w:val="center"/>
        <w:rPr>
          <w:rFonts w:ascii="Cambria" w:eastAsia="Calibri" w:hAnsi="Cambria" w:cs="Cambria"/>
          <w:color w:val="000000"/>
        </w:rPr>
      </w:pPr>
    </w:p>
    <w:p w14:paraId="0530AB1E" w14:textId="77777777" w:rsidR="00887A30" w:rsidRDefault="00887A30" w:rsidP="00231CF8">
      <w:pPr>
        <w:ind w:right="531"/>
        <w:jc w:val="center"/>
        <w:rPr>
          <w:rFonts w:ascii="Cambria" w:eastAsia="Calibri" w:hAnsi="Cambria" w:cs="Cambria"/>
          <w:color w:val="000000"/>
        </w:rPr>
      </w:pPr>
    </w:p>
    <w:p w14:paraId="64499A8B" w14:textId="77777777" w:rsidR="00887A30" w:rsidRDefault="00887A30" w:rsidP="00231CF8">
      <w:pPr>
        <w:ind w:right="531"/>
        <w:jc w:val="center"/>
        <w:rPr>
          <w:rFonts w:ascii="Cambria" w:eastAsia="Calibri" w:hAnsi="Cambria" w:cs="Cambria"/>
          <w:color w:val="000000"/>
        </w:rPr>
      </w:pPr>
    </w:p>
    <w:p w14:paraId="78B9C1E6" w14:textId="77777777" w:rsidR="00887A30" w:rsidRDefault="00887A30" w:rsidP="00231CF8">
      <w:pPr>
        <w:ind w:right="531"/>
        <w:jc w:val="center"/>
        <w:rPr>
          <w:rFonts w:ascii="Cambria" w:eastAsia="Calibri" w:hAnsi="Cambria" w:cs="Cambria"/>
          <w:color w:val="000000"/>
        </w:rPr>
      </w:pPr>
    </w:p>
    <w:p w14:paraId="3C9E9CB9" w14:textId="77777777" w:rsidR="008E6A71" w:rsidRPr="00FD66CA" w:rsidRDefault="008E6A71">
      <w:pPr>
        <w:rPr>
          <w:rFonts w:ascii="Cambria" w:hAnsi="Cambria"/>
        </w:rPr>
      </w:pPr>
    </w:p>
    <w:sectPr w:rsidR="008E6A71" w:rsidRPr="00FD66CA" w:rsidSect="00D74F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777DC" w14:textId="77777777" w:rsidR="00A654E2" w:rsidRDefault="00A654E2">
      <w:pPr>
        <w:spacing w:after="0" w:line="240" w:lineRule="auto"/>
      </w:pPr>
      <w:r>
        <w:separator/>
      </w:r>
    </w:p>
  </w:endnote>
  <w:endnote w:type="continuationSeparator" w:id="0">
    <w:p w14:paraId="1413A5CC" w14:textId="77777777" w:rsidR="00A654E2" w:rsidRDefault="00A6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42BEF" w14:textId="77777777" w:rsidR="00231CF8" w:rsidRPr="00231CF8" w:rsidRDefault="00231CF8" w:rsidP="00231CF8">
    <w:pPr>
      <w:tabs>
        <w:tab w:val="center" w:pos="4536"/>
        <w:tab w:val="right" w:pos="10490"/>
      </w:tabs>
      <w:spacing w:after="0" w:line="240" w:lineRule="auto"/>
      <w:ind w:left="-1417" w:right="-567"/>
      <w:jc w:val="center"/>
    </w:pPr>
    <w:r w:rsidRPr="00231CF8">
      <w:rPr>
        <w:rFonts w:ascii="Cambria" w:hAnsi="Cambria" w:cs="Cambria"/>
        <w:color w:val="000000"/>
        <w:sz w:val="16"/>
      </w:rPr>
      <w:t>PROJEKT SUFINANCIRA EUROPSKA UNIJA IZ EUROPSKOG FONDA ZA REGIONALNI RAZVOJ. SADRŽAJ OVOG DOKUMENTA ISKLJUČIVA JE ODGOVORNOST OPG-a YERKOVICH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9B04E" w14:textId="77777777" w:rsidR="00A654E2" w:rsidRDefault="00A654E2">
      <w:pPr>
        <w:spacing w:after="0" w:line="240" w:lineRule="auto"/>
      </w:pPr>
      <w:r>
        <w:separator/>
      </w:r>
    </w:p>
  </w:footnote>
  <w:footnote w:type="continuationSeparator" w:id="0">
    <w:p w14:paraId="1BA2D58D" w14:textId="77777777" w:rsidR="00A654E2" w:rsidRDefault="00A6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424A8" w14:textId="23FFFACE" w:rsidR="00231CF8" w:rsidRDefault="00231C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25317401" wp14:editId="0CDC118B">
          <wp:simplePos x="0" y="0"/>
          <wp:positionH relativeFrom="column">
            <wp:posOffset>7586980</wp:posOffset>
          </wp:positionH>
          <wp:positionV relativeFrom="paragraph">
            <wp:posOffset>-59055</wp:posOffset>
          </wp:positionV>
          <wp:extent cx="3923665" cy="1171575"/>
          <wp:effectExtent l="0" t="0" r="635" b="9525"/>
          <wp:wrapThrough wrapText="bothSides">
            <wp:wrapPolygon edited="0">
              <wp:start x="0" y="0"/>
              <wp:lineTo x="0" y="21424"/>
              <wp:lineTo x="21499" y="21424"/>
              <wp:lineTo x="21499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3665" cy="1171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00B87"/>
    <w:multiLevelType w:val="hybridMultilevel"/>
    <w:tmpl w:val="555057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C8"/>
    <w:rsid w:val="00047C77"/>
    <w:rsid w:val="000539B8"/>
    <w:rsid w:val="00082CAE"/>
    <w:rsid w:val="000E0253"/>
    <w:rsid w:val="00117A05"/>
    <w:rsid w:val="00130B14"/>
    <w:rsid w:val="001A1F9C"/>
    <w:rsid w:val="002166B3"/>
    <w:rsid w:val="00231CF8"/>
    <w:rsid w:val="00253C71"/>
    <w:rsid w:val="002E50DA"/>
    <w:rsid w:val="00346B49"/>
    <w:rsid w:val="003B21DD"/>
    <w:rsid w:val="003E6A0C"/>
    <w:rsid w:val="0040112D"/>
    <w:rsid w:val="00423445"/>
    <w:rsid w:val="00444F53"/>
    <w:rsid w:val="00466C34"/>
    <w:rsid w:val="00467EE3"/>
    <w:rsid w:val="00492E72"/>
    <w:rsid w:val="004E5DC8"/>
    <w:rsid w:val="00562FEE"/>
    <w:rsid w:val="00633053"/>
    <w:rsid w:val="006E2557"/>
    <w:rsid w:val="007947CF"/>
    <w:rsid w:val="007E0DE3"/>
    <w:rsid w:val="007F676D"/>
    <w:rsid w:val="0082476B"/>
    <w:rsid w:val="00885DAD"/>
    <w:rsid w:val="00887A30"/>
    <w:rsid w:val="00896C1F"/>
    <w:rsid w:val="008B0825"/>
    <w:rsid w:val="008C2505"/>
    <w:rsid w:val="008D617C"/>
    <w:rsid w:val="008E6A71"/>
    <w:rsid w:val="00A654E2"/>
    <w:rsid w:val="00A725CE"/>
    <w:rsid w:val="00A97A34"/>
    <w:rsid w:val="00B860C7"/>
    <w:rsid w:val="00BC6BCB"/>
    <w:rsid w:val="00BE129C"/>
    <w:rsid w:val="00C33759"/>
    <w:rsid w:val="00C3721F"/>
    <w:rsid w:val="00CF72CA"/>
    <w:rsid w:val="00D039B7"/>
    <w:rsid w:val="00D11D29"/>
    <w:rsid w:val="00D17ED5"/>
    <w:rsid w:val="00D74F10"/>
    <w:rsid w:val="00DE07A9"/>
    <w:rsid w:val="00F31B19"/>
    <w:rsid w:val="00FA581E"/>
    <w:rsid w:val="00FB0F4E"/>
    <w:rsid w:val="00FB6922"/>
    <w:rsid w:val="00FC4C3E"/>
    <w:rsid w:val="00FD66CA"/>
    <w:rsid w:val="00FD6831"/>
    <w:rsid w:val="00F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8151C"/>
  <w15:chartTrackingRefBased/>
  <w15:docId w15:val="{87F24D39-BE5E-404B-BFD6-1E94350A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5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5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D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C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5DC8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E5DC8"/>
    <w:pPr>
      <w:widowControl w:val="0"/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4E5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DC8"/>
  </w:style>
  <w:style w:type="paragraph" w:styleId="Footer">
    <w:name w:val="footer"/>
    <w:basedOn w:val="Normal"/>
    <w:link w:val="FooterChar"/>
    <w:uiPriority w:val="99"/>
    <w:unhideWhenUsed/>
    <w:rsid w:val="004E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25583-590F-46EC-8E0F-B0343BFE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2017-05-23T08:03:00Z</dcterms:created>
  <dcterms:modified xsi:type="dcterms:W3CDTF">2017-05-23T09:13:00Z</dcterms:modified>
</cp:coreProperties>
</file>